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" w:after="1"/>
        <w:rPr>
          <w:sz w:val="17"/>
        </w:rPr>
      </w:pPr>
    </w:p>
    <w:p>
      <w:pPr>
        <w:pStyle w:val="6"/>
        <w:ind w:left="167" w:right="-15"/>
        <w:rPr>
          <w:sz w:val="20"/>
        </w:rPr>
      </w:pPr>
      <w:r>
        <w:rPr>
          <w:sz w:val="20"/>
          <w:lang w:bidi="ar-SA"/>
        </w:rPr>
        <w:drawing>
          <wp:inline distT="0" distB="0" distL="0" distR="0">
            <wp:extent cx="1283335" cy="2012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42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20"/>
        </w:rPr>
      </w:pPr>
    </w:p>
    <w:p>
      <w:pPr>
        <w:spacing w:before="81"/>
        <w:ind w:left="4461" w:right="4746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pStyle w:val="6"/>
        <w:rPr>
          <w:b/>
          <w:sz w:val="20"/>
          <w:szCs w:val="20"/>
        </w:rPr>
      </w:pPr>
    </w:p>
    <w:p>
      <w:pPr>
        <w:pStyle w:val="6"/>
        <w:spacing w:before="5"/>
        <w:rPr>
          <w:b/>
          <w:sz w:val="20"/>
          <w:szCs w:val="20"/>
        </w:rPr>
      </w:pPr>
    </w:p>
    <w:p>
      <w:pPr>
        <w:pStyle w:val="6"/>
        <w:spacing w:line="271" w:lineRule="auto"/>
        <w:ind w:left="1584" w:right="6551" w:hanging="1417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                       </w:t>
      </w:r>
    </w:p>
    <w:p>
      <w:pPr>
        <w:spacing w:line="271" w:lineRule="auto"/>
        <w:jc w:val="center"/>
        <w:rPr>
          <w:sz w:val="20"/>
          <w:szCs w:val="20"/>
        </w:rPr>
        <w:sectPr>
          <w:type w:val="continuous"/>
          <w:pgSz w:w="16840" w:h="11910" w:orient="landscape"/>
          <w:pgMar w:top="460" w:right="760" w:bottom="280" w:left="640" w:header="720" w:footer="720" w:gutter="0"/>
          <w:cols w:equalWidth="0" w:num="2">
            <w:col w:w="2219" w:space="1139"/>
            <w:col w:w="12082"/>
          </w:cols>
        </w:sectPr>
      </w:pPr>
    </w:p>
    <w:p>
      <w:pPr>
        <w:pStyle w:val="6"/>
        <w:spacing w:before="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>
      <w:pPr>
        <w:pStyle w:val="9"/>
        <w:spacing w:before="15" w:line="271" w:lineRule="auto"/>
        <w:ind w:left="52" w:right="39" w:firstLine="5294" w:firstLineChars="2100"/>
        <w:jc w:val="both"/>
        <w:rPr>
          <w:rFonts w:eastAsia="Helvetica"/>
          <w:b/>
          <w:bCs/>
          <w:color w:val="384048"/>
          <w:sz w:val="24"/>
          <w:szCs w:val="24"/>
          <w:shd w:val="clear" w:color="auto" w:fill="FFFFFF"/>
        </w:rPr>
      </w:pPr>
      <w:r>
        <w:rPr>
          <w:b/>
          <w:bCs/>
          <w:w w:val="105"/>
          <w:sz w:val="24"/>
          <w:szCs w:val="24"/>
        </w:rPr>
        <w:t xml:space="preserve">Облучатель люминесцентный </w:t>
      </w:r>
      <w:r>
        <w:rPr>
          <w:rFonts w:eastAsia="Helvetica"/>
          <w:b/>
          <w:bCs/>
          <w:color w:val="384048"/>
          <w:sz w:val="24"/>
          <w:szCs w:val="24"/>
          <w:shd w:val="clear" w:color="auto" w:fill="FFFFFF"/>
        </w:rPr>
        <w:t>«Сапфир-2В» для ветеринарии</w:t>
      </w:r>
    </w:p>
    <w:p>
      <w:pPr>
        <w:pStyle w:val="9"/>
        <w:spacing w:before="15" w:line="271" w:lineRule="auto"/>
        <w:ind w:left="52" w:right="39" w:firstLine="5042" w:firstLineChars="2100"/>
        <w:jc w:val="both"/>
        <w:rPr>
          <w:b/>
          <w:bCs/>
          <w:sz w:val="24"/>
          <w:szCs w:val="24"/>
        </w:rPr>
      </w:pPr>
    </w:p>
    <w:tbl>
      <w:tblPr>
        <w:tblStyle w:val="4"/>
        <w:tblW w:w="15570" w:type="dxa"/>
        <w:tblInd w:w="-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2825"/>
        <w:gridCol w:w="1278"/>
        <w:gridCol w:w="2462"/>
        <w:gridCol w:w="5940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55" w:type="dxa"/>
          </w:tcPr>
          <w:p>
            <w:pPr>
              <w:pStyle w:val="9"/>
              <w:spacing w:before="2" w:line="147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№ п/п</w:t>
            </w:r>
          </w:p>
        </w:tc>
        <w:tc>
          <w:tcPr>
            <w:tcW w:w="2825" w:type="dxa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1" w:line="271" w:lineRule="auto"/>
              <w:ind w:left="174" w:right="149" w:firstLine="19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8" w:type="dxa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1" w:line="271" w:lineRule="auto"/>
              <w:ind w:left="39" w:right="13" w:firstLine="6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Единица измерения</w:t>
            </w:r>
          </w:p>
        </w:tc>
        <w:tc>
          <w:tcPr>
            <w:tcW w:w="2462" w:type="dxa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1" w:line="271" w:lineRule="auto"/>
              <w:ind w:left="304" w:right="206" w:hanging="8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Описание</w:t>
            </w:r>
          </w:p>
        </w:tc>
        <w:tc>
          <w:tcPr>
            <w:tcW w:w="5940" w:type="dxa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1" w:line="271" w:lineRule="auto"/>
              <w:ind w:left="888" w:right="430" w:hanging="44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610" w:type="dxa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1" w:line="271" w:lineRule="auto"/>
              <w:ind w:left="331" w:firstLine="23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Значение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55" w:type="dxa"/>
            <w:vMerge w:val="restart"/>
          </w:tcPr>
          <w:p>
            <w:pPr>
              <w:pStyle w:val="9"/>
              <w:spacing w:before="15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1</w:t>
            </w:r>
          </w:p>
        </w:tc>
        <w:tc>
          <w:tcPr>
            <w:tcW w:w="2825" w:type="dxa"/>
            <w:vMerge w:val="restart"/>
          </w:tcPr>
          <w:p>
            <w:pPr>
              <w:pStyle w:val="2"/>
              <w:shd w:val="clear" w:color="auto" w:fill="FFFFFF"/>
              <w:spacing w:beforeAutospacing="0" w:after="200" w:afterAutospacing="0" w:line="320" w:lineRule="atLeast"/>
              <w:ind w:left="240" w:leftChars="109"/>
              <w:jc w:val="center"/>
              <w:rPr>
                <w:rFonts w:hint="default" w:ascii="Times New Roman" w:hAnsi="Times New Roman" w:eastAsia="Helvetica"/>
                <w:b w:val="0"/>
                <w:bCs w:val="0"/>
                <w:color w:val="384048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/>
                <w:b w:val="0"/>
                <w:bCs w:val="0"/>
                <w:color w:val="384048"/>
                <w:sz w:val="24"/>
                <w:szCs w:val="24"/>
                <w:shd w:val="clear" w:color="auto" w:fill="FFFFFF"/>
                <w:lang w:val="ru-RU"/>
              </w:rPr>
              <w:t>Облучатель люминесцентный</w:t>
            </w:r>
          </w:p>
          <w:p>
            <w:pPr>
              <w:pStyle w:val="2"/>
              <w:shd w:val="clear" w:color="auto" w:fill="FFFFFF"/>
              <w:spacing w:beforeAutospacing="0" w:after="200" w:afterAutospacing="0" w:line="320" w:lineRule="atLeast"/>
              <w:ind w:left="240" w:leftChars="109"/>
              <w:jc w:val="center"/>
              <w:rPr>
                <w:rFonts w:hint="default" w:ascii="Times New Roman" w:hAnsi="Times New Roman"/>
                <w:b w:val="0"/>
                <w:bCs w:val="0"/>
                <w:w w:val="10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/>
                <w:b w:val="0"/>
                <w:bCs w:val="0"/>
                <w:color w:val="384048"/>
                <w:sz w:val="24"/>
                <w:szCs w:val="24"/>
                <w:shd w:val="clear" w:color="auto" w:fill="FFFFFF"/>
                <w:lang w:val="ru-RU"/>
              </w:rPr>
              <w:t>диагностический   «Сапфир-2В»</w:t>
            </w:r>
            <w:r>
              <w:rPr>
                <w:rFonts w:hint="default" w:ascii="Times New Roman" w:hAnsi="Times New Roman"/>
                <w:b w:val="0"/>
                <w:bCs w:val="0"/>
                <w:w w:val="105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lang w:eastAsia="zh-CN" w:bidi="ar-SA"/>
              </w:rPr>
            </w:pPr>
            <w:r>
              <w:rPr>
                <w:lang w:eastAsia="zh-CN" w:bidi="ar-SA"/>
              </w:rPr>
              <w:t>для ветеринарии</w:t>
            </w:r>
          </w:p>
          <w:p>
            <w:pPr>
              <w:jc w:val="center"/>
              <w:rPr>
                <w:lang w:eastAsia="zh-CN" w:bidi="ar-SA"/>
              </w:rPr>
            </w:pPr>
          </w:p>
          <w:p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Торговая марка </w:t>
            </w:r>
          </w:p>
          <w:p>
            <w:pPr>
              <w:jc w:val="center"/>
              <w:rPr>
                <w:w w:val="105"/>
                <w:sz w:val="24"/>
                <w:szCs w:val="24"/>
              </w:rPr>
            </w:pPr>
          </w:p>
          <w:p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ПЕТРОЛАЗЕР,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2"/>
              <w:ind w:left="73" w:right="63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Российская Федерация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5"/>
              <w:ind w:left="17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штука</w:t>
            </w:r>
          </w:p>
        </w:tc>
        <w:tc>
          <w:tcPr>
            <w:tcW w:w="2462" w:type="dxa"/>
            <w:vMerge w:val="restart"/>
          </w:tcPr>
          <w:p>
            <w:pPr>
              <w:pStyle w:val="9"/>
              <w:spacing w:before="3" w:line="271" w:lineRule="auto"/>
              <w:ind w:left="18" w:right="10"/>
              <w:jc w:val="center"/>
              <w:rPr>
                <w:rFonts w:eastAsia="Helvetica"/>
                <w:color w:val="384048"/>
                <w:sz w:val="24"/>
                <w:szCs w:val="24"/>
                <w:shd w:val="clear" w:color="auto" w:fill="FFFFFF"/>
              </w:rPr>
            </w:pPr>
            <w:r>
              <w:rPr>
                <w:rFonts w:eastAsia="Helvetica"/>
                <w:color w:val="384048"/>
                <w:sz w:val="24"/>
                <w:szCs w:val="24"/>
                <w:shd w:val="clear" w:color="auto" w:fill="FFFFFF"/>
              </w:rPr>
              <w:t>Облучатель люминесцентный  «Сапфир-2В» — предназначен для люминесцентной диагностики микозов (грибковых заболеваний) и некоторых видов дерматозов у животных. Применяется в ветеринарных лечебницах, клиниках, кабинетах, кинологических центрах, приютах для животных,</w:t>
            </w:r>
          </w:p>
          <w:p>
            <w:pPr>
              <w:pStyle w:val="9"/>
              <w:spacing w:before="3" w:line="271" w:lineRule="auto"/>
              <w:ind w:left="18" w:right="10"/>
              <w:jc w:val="center"/>
              <w:rPr>
                <w:sz w:val="24"/>
                <w:szCs w:val="24"/>
              </w:rPr>
            </w:pPr>
            <w:r>
              <w:rPr>
                <w:rFonts w:eastAsia="Helvetica"/>
                <w:color w:val="384048"/>
                <w:sz w:val="24"/>
                <w:szCs w:val="24"/>
                <w:shd w:val="clear" w:color="auto" w:fill="FFFFFF"/>
              </w:rPr>
              <w:t>питомниках, ипподромах, конюшнях, при проведении профилактических осмотров.</w:t>
            </w:r>
          </w:p>
        </w:tc>
        <w:tc>
          <w:tcPr>
            <w:tcW w:w="5940" w:type="dxa"/>
          </w:tcPr>
          <w:p>
            <w:pPr>
              <w:pStyle w:val="9"/>
              <w:spacing w:before="15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1.1 Технические характеристики</w:t>
            </w:r>
          </w:p>
        </w:tc>
        <w:tc>
          <w:tcPr>
            <w:tcW w:w="2610" w:type="dxa"/>
          </w:tcPr>
          <w:p>
            <w:pPr>
              <w:pStyle w:val="9"/>
              <w:spacing w:befor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106" w:line="271" w:lineRule="auto"/>
              <w:ind w:left="2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Источник ультрафиолетового света: мощные ультрафиолетовые светодиоды (4 шт.)</w:t>
            </w:r>
          </w:p>
        </w:tc>
        <w:tc>
          <w:tcPr>
            <w:tcW w:w="2610" w:type="dxa"/>
            <w:shd w:val="clear" w:color="auto" w:fill="auto"/>
          </w:tcPr>
          <w:p>
            <w:pPr>
              <w:pStyle w:val="9"/>
              <w:spacing w:before="1"/>
              <w:rPr>
                <w:sz w:val="24"/>
                <w:szCs w:val="24"/>
              </w:rPr>
            </w:pPr>
          </w:p>
          <w:p>
            <w:pPr>
              <w:pStyle w:val="9"/>
              <w:spacing w:before="0"/>
              <w:ind w:left="280" w:right="2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58" w:line="271" w:lineRule="auto"/>
              <w:ind w:left="22" w:right="43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специальный кожух с рукояткой, который обеспечивает воздушное охлаждение диодных излучателей.</w:t>
            </w:r>
          </w:p>
        </w:tc>
        <w:tc>
          <w:tcPr>
            <w:tcW w:w="2610" w:type="dxa"/>
            <w:shd w:val="clear" w:color="auto" w:fill="auto"/>
          </w:tcPr>
          <w:p>
            <w:pPr>
              <w:pStyle w:val="9"/>
              <w:spacing w:before="11"/>
              <w:rPr>
                <w:sz w:val="24"/>
                <w:szCs w:val="24"/>
              </w:rPr>
            </w:pPr>
          </w:p>
          <w:p>
            <w:pPr>
              <w:pStyle w:val="9"/>
              <w:spacing w:before="0"/>
              <w:ind w:left="280" w:right="2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106" w:line="271" w:lineRule="auto"/>
              <w:ind w:left="2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Встроенная линза  позволяет рассматривать детали исследуемого участка с 2.5-кратным увеличением</w:t>
            </w:r>
          </w:p>
        </w:tc>
        <w:tc>
          <w:tcPr>
            <w:tcW w:w="2610" w:type="dxa"/>
            <w:shd w:val="clear" w:color="auto" w:fill="auto"/>
          </w:tcPr>
          <w:p>
            <w:pPr>
              <w:pStyle w:val="9"/>
              <w:spacing w:before="1"/>
              <w:rPr>
                <w:sz w:val="24"/>
                <w:szCs w:val="24"/>
              </w:rPr>
            </w:pPr>
          </w:p>
          <w:p>
            <w:pPr>
              <w:pStyle w:val="9"/>
              <w:spacing w:before="0"/>
              <w:ind w:left="280" w:right="2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12" w:line="271" w:lineRule="auto"/>
              <w:ind w:left="22" w:right="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УФ-излучение ламп проецируется на исследуемый объект через «черные» увиолевые светофильтры, имеющие максимум пропускания в области 365 нм, и вызывает характерное свечение пораженной поверхности.</w:t>
            </w:r>
          </w:p>
        </w:tc>
        <w:tc>
          <w:tcPr>
            <w:tcW w:w="2610" w:type="dxa"/>
            <w:shd w:val="clear" w:color="auto" w:fill="auto"/>
          </w:tcPr>
          <w:p>
            <w:pPr>
              <w:pStyle w:val="9"/>
              <w:spacing w:before="9"/>
              <w:rPr>
                <w:sz w:val="24"/>
                <w:szCs w:val="24"/>
              </w:rPr>
            </w:pPr>
          </w:p>
          <w:p>
            <w:pPr>
              <w:pStyle w:val="9"/>
              <w:spacing w:before="0"/>
              <w:ind w:left="280" w:right="2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12" w:line="271" w:lineRule="auto"/>
              <w:ind w:left="22" w:right="20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Облучатель снабжен защитным прозрачным фильтром, отсекающим 80% отраженного и рассеянного УФ излучения. Фильтр не влияет на восприятие цвета наблюдаемой картины люминесценции. Защитный фильтр сблокирован с увеличительной линзой 2.5 х.</w:t>
            </w:r>
          </w:p>
        </w:tc>
        <w:tc>
          <w:tcPr>
            <w:tcW w:w="2610" w:type="dxa"/>
            <w:shd w:val="clear" w:color="auto" w:fill="auto"/>
          </w:tcPr>
          <w:p>
            <w:pPr>
              <w:pStyle w:val="9"/>
              <w:spacing w:before="0"/>
              <w:rPr>
                <w:sz w:val="24"/>
                <w:szCs w:val="24"/>
              </w:rPr>
            </w:pPr>
          </w:p>
          <w:p>
            <w:pPr>
              <w:pStyle w:val="9"/>
              <w:spacing w:before="0"/>
              <w:rPr>
                <w:sz w:val="24"/>
                <w:szCs w:val="24"/>
              </w:rPr>
            </w:pPr>
          </w:p>
          <w:p>
            <w:pPr>
              <w:pStyle w:val="9"/>
              <w:spacing w:before="112"/>
              <w:ind w:left="280" w:right="2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pStyle w:val="9"/>
              <w:spacing w:before="12" w:line="271" w:lineRule="auto"/>
              <w:ind w:left="22" w:right="20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 подсветки белым светом позволяет рассмотреть детали исследуемого участка и видимом свете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spacing w:before="12" w:line="271" w:lineRule="auto"/>
              <w:ind w:left="22" w:right="20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pStyle w:val="9"/>
              <w:spacing w:before="12" w:line="271" w:lineRule="auto"/>
              <w:ind w:left="22" w:right="20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Трех-позиционный переключатель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spacing w:before="12" w:line="271" w:lineRule="auto"/>
              <w:ind w:left="22" w:right="20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pStyle w:val="9"/>
              <w:spacing w:before="12" w:line="271" w:lineRule="auto"/>
              <w:ind w:left="22" w:right="20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Полностью металлическая конструкция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spacing w:before="12" w:line="271" w:lineRule="auto"/>
              <w:ind w:left="22" w:right="20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pStyle w:val="9"/>
              <w:kinsoku w:val="0"/>
              <w:adjustRightInd w:val="0"/>
              <w:spacing w:before="0" w:line="720" w:lineRule="auto"/>
              <w:ind w:left="23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Напряжение питающей сети, В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adjustRightInd w:val="0"/>
              <w:spacing w:before="0" w:line="720" w:lineRule="auto"/>
              <w:ind w:firstLine="252" w:firstLineChars="10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0" w:line="720" w:lineRule="auto"/>
              <w:ind w:firstLine="126" w:firstLineChars="5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Габаритные размеры, мм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spacing w:before="0" w:line="720" w:lineRule="auto"/>
              <w:ind w:right="277"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eastAsia="Helvetica"/>
                <w:color w:val="384048"/>
                <w:sz w:val="24"/>
                <w:szCs w:val="24"/>
                <w:shd w:val="clear" w:color="auto" w:fill="FFFFFF"/>
              </w:rPr>
              <w:t>300 х 115 х55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0" w:line="720" w:lineRule="auto"/>
              <w:ind w:firstLine="126" w:firstLineChars="5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Вес прибора, 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spacing w:before="0" w:line="720" w:lineRule="auto"/>
              <w:ind w:firstLine="124" w:firstLineChars="50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>
            <w:pPr>
              <w:pStyle w:val="9"/>
              <w:spacing w:before="0" w:line="720" w:lineRule="auto"/>
              <w:ind w:firstLine="126" w:firstLineChars="5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Плотность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светового потока на расстоянии 10 см не менее</w:t>
            </w:r>
            <w:r>
              <w:rPr>
                <w:w w:val="105"/>
                <w:sz w:val="24"/>
                <w:szCs w:val="24"/>
              </w:rPr>
              <w:t xml:space="preserve"> Вт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>/ кв.м.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pStyle w:val="9"/>
              <w:spacing w:before="0" w:line="720" w:lineRule="auto"/>
              <w:ind w:right="277" w:firstLine="120" w:firstLineChars="5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>
            <w:pPr>
              <w:pStyle w:val="9"/>
              <w:spacing w:before="0" w:line="720" w:lineRule="auto"/>
              <w:ind w:firstLine="126" w:firstLineChars="5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Увеличение лупы, крат</w:t>
            </w:r>
          </w:p>
        </w:tc>
        <w:tc>
          <w:tcPr>
            <w:tcW w:w="2610" w:type="dxa"/>
            <w:vAlign w:val="center"/>
          </w:tcPr>
          <w:p>
            <w:pPr>
              <w:pStyle w:val="9"/>
              <w:spacing w:before="0" w:line="720" w:lineRule="auto"/>
              <w:ind w:right="277" w:firstLine="126" w:firstLineChars="5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>
            <w:pPr>
              <w:pStyle w:val="9"/>
              <w:spacing w:before="17" w:line="271" w:lineRule="auto"/>
              <w:ind w:left="22" w:right="205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Вариант комплектации</w:t>
            </w:r>
            <w:r>
              <w:rPr>
                <w:w w:val="105"/>
                <w:sz w:val="24"/>
                <w:szCs w:val="24"/>
              </w:rPr>
              <w:t>: прибор, руководство пользователя на русском языке, заверенная копия декларации о соответствии, упаковочная тара.</w:t>
            </w:r>
          </w:p>
        </w:tc>
        <w:tc>
          <w:tcPr>
            <w:tcW w:w="2610" w:type="dxa"/>
          </w:tcPr>
          <w:p>
            <w:pPr>
              <w:pStyle w:val="9"/>
              <w:spacing w:before="0"/>
              <w:rPr>
                <w:sz w:val="24"/>
                <w:szCs w:val="24"/>
              </w:rPr>
            </w:pPr>
          </w:p>
          <w:p>
            <w:pPr>
              <w:pStyle w:val="9"/>
              <w:spacing w:before="0"/>
              <w:rPr>
                <w:sz w:val="24"/>
                <w:szCs w:val="24"/>
              </w:rPr>
            </w:pPr>
          </w:p>
          <w:p>
            <w:pPr>
              <w:pStyle w:val="9"/>
              <w:spacing w:before="1"/>
              <w:ind w:left="280" w:right="2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наличие</w:t>
            </w:r>
          </w:p>
        </w:tc>
      </w:tr>
    </w:tbl>
    <w:p>
      <w:pPr>
        <w:pStyle w:val="6"/>
        <w:spacing w:before="7"/>
        <w:rPr>
          <w:sz w:val="20"/>
          <w:szCs w:val="20"/>
        </w:rPr>
      </w:pPr>
    </w:p>
    <w:sectPr>
      <w:type w:val="continuous"/>
      <w:pgSz w:w="16840" w:h="11910" w:orient="landscape"/>
      <w:pgMar w:top="460" w:right="760" w:bottom="280" w:left="6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9"/>
    <w:rsid w:val="0071685A"/>
    <w:rsid w:val="00BB3C59"/>
    <w:rsid w:val="03EA486B"/>
    <w:rsid w:val="0678276A"/>
    <w:rsid w:val="09296020"/>
    <w:rsid w:val="0A974CCA"/>
    <w:rsid w:val="0F942D21"/>
    <w:rsid w:val="116B5F5D"/>
    <w:rsid w:val="13A80801"/>
    <w:rsid w:val="158A261A"/>
    <w:rsid w:val="181E2978"/>
    <w:rsid w:val="1F253011"/>
    <w:rsid w:val="21105719"/>
    <w:rsid w:val="21C70BEB"/>
    <w:rsid w:val="239B4630"/>
    <w:rsid w:val="27560DED"/>
    <w:rsid w:val="27C14A90"/>
    <w:rsid w:val="2B886C34"/>
    <w:rsid w:val="2C205F5B"/>
    <w:rsid w:val="2C886DF1"/>
    <w:rsid w:val="33270458"/>
    <w:rsid w:val="33F662F2"/>
    <w:rsid w:val="34DD442C"/>
    <w:rsid w:val="359B212D"/>
    <w:rsid w:val="370A65DC"/>
    <w:rsid w:val="37E45AFF"/>
    <w:rsid w:val="382262AF"/>
    <w:rsid w:val="395C7A57"/>
    <w:rsid w:val="3BB93D45"/>
    <w:rsid w:val="3D360A9F"/>
    <w:rsid w:val="3D6971B2"/>
    <w:rsid w:val="443F1A36"/>
    <w:rsid w:val="4BD6581A"/>
    <w:rsid w:val="4BFF2E90"/>
    <w:rsid w:val="4E664687"/>
    <w:rsid w:val="4F046C8B"/>
    <w:rsid w:val="56AE09AB"/>
    <w:rsid w:val="56C9627D"/>
    <w:rsid w:val="59536448"/>
    <w:rsid w:val="59A13479"/>
    <w:rsid w:val="5B482860"/>
    <w:rsid w:val="5D823D9D"/>
    <w:rsid w:val="5DDF6DAF"/>
    <w:rsid w:val="5FFA5B68"/>
    <w:rsid w:val="6B4569F1"/>
    <w:rsid w:val="6B782F43"/>
    <w:rsid w:val="6CB5085C"/>
    <w:rsid w:val="6E8C49B5"/>
    <w:rsid w:val="77843642"/>
    <w:rsid w:val="7F1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next w:val="1"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14"/>
      <w:szCs w:val="14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7"/>
    </w:pPr>
  </w:style>
  <w:style w:type="paragraph" w:customStyle="1" w:styleId="9">
    <w:name w:val="Table Paragraph"/>
    <w:basedOn w:val="1"/>
    <w:qFormat/>
    <w:uiPriority w:val="1"/>
    <w:pPr>
      <w:spacing w:before="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1705</Characters>
  <Lines>14</Lines>
  <Paragraphs>3</Paragraphs>
  <TotalTime>3</TotalTime>
  <ScaleCrop>false</ScaleCrop>
  <LinksUpToDate>false</LinksUpToDate>
  <CharactersWithSpaces>2001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2021-11-23T09:58:00Z</dcterms:created>
  <dc:creator>Бикметов Ильдар Радикович</dc:creator>
  <cp:lastModifiedBy>dmitriy</cp:lastModifiedBy>
  <cp:lastPrinted>2021-11-22T14:10:00Z</cp:lastPrinted>
  <dcterms:modified xsi:type="dcterms:W3CDTF">2022-01-10T12:46:38Z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2021-10-05T00:00:00Z</vt:filetime>
  </property>
  <property fmtid="{D5CDD505-2E9C-101B-9397-08002B2CF9AE}" pid="5" name="KSOProductBuildVer">
    <vt:lpwstr>1049-11.2.0.10426</vt:lpwstr>
  </property>
  <property fmtid="{D5CDD505-2E9C-101B-9397-08002B2CF9AE}" pid="6" name="ICV">
    <vt:lpwstr>2AEC8141F2624E208BFBFDF2459E40C8</vt:lpwstr>
  </property>
</Properties>
</file>